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22</w:t>
      </w:r>
    </w:p>
    <w:p>
      <w:r>
        <w:t>Bundesgericht (BGE), 1977-03-10, DE</w:t>
      </w:r>
    </w:p>
    <w:p>
      <w:r>
        <w:rPr>
          <w:b/>
        </w:rPr>
        <w:t xml:space="preserve">Quelle: </w:t>
      </w:r>
      <w:r>
        <w:t>https://mcp.opencaselaw.ch/entscheid/bge_104 IV 22</w:t>
      </w:r>
    </w:p>
    <w:p>
      <w:r>
        <w:t>FR: ATF 104 IV 22</w:t>
      </w:r>
    </w:p>
    <w:p>
      <w:r>
        <w:t>IT: DTF 104 IV 22</w:t>
      </w:r>
    </w:p>
    <w:p>
      <w:pPr>
        <w:pStyle w:val="Heading2"/>
      </w:pPr>
      <w:r>
        <w:t>Regeste</w:t>
      </w:r>
    </w:p>
    <w:p>
      <w:r>
        <w:t>Regeste Art. 312 StGB. Amtsmissbrauch ist auch dann gegeben, wenn ein Beamter zwar legitime Ziele verfolgt, aber zur Erreichung derselben in unverhältnismässiger Weise Gewalt anwendet.</w:t>
      </w:r>
    </w:p>
    <w:p>
      <w:pPr>
        <w:pStyle w:val="Heading2"/>
      </w:pPr>
      <w:r>
        <w:t>Erwägungen</w:t>
      </w:r>
    </w:p>
    <w:p>
      <w:r>
        <w:rPr>
          <w:b/>
        </w:rPr>
        <w:t>E. 2</w:t>
      </w:r>
    </w:p>
    <w:p>
      <w:r>
        <w:t>Gemäss Art. 312 StGB ist u.a. strafbar ein Beamter, der seine Amtsgewalt missbraucht, um sich oder einem andern einen unrechtmässigen Vorteil zu verschaffen oder einem andern einen Nachteil zuzufügen. Ein solcher Missbrauch liegt dann vor, wenn der Beamte die Machtbefugnisse, die ihm sein Amt verleiht, unrechtmässig anwendet, d.h. kraft seines Amtes verfügt oder Zwang ausübt, wo dies nicht geschehen dürfte ( BGE 88 IV 71 ; vgl. auch BGE 99 IV 13 f.). Diese Voraussetzung ist auch dann gegeben, wenn ein Beamter zwar legitime Ziele verfolgt, aber zur Erreichung derselben in unverhältnismässiger Weise Gewalt anwendet. a) Dass das Vorgehen des Beschwerdeführers einen Amtsmissbrauch darstellt, ist offensichtlich. Selbst wenn sich Z. zu Unrecht gegen die polizeilichen Massnahmen gesträubt hätte, was bezüglich der erkennungsdienstlichen Behandlung als fraglich erscheint, hätte sein Widerstand nur mit zulässigen und verhältnismässigen Mitteln gebrochen werden dürfen. Reissen an den Haaren, Faustschläge und dergleichen waren aber unter den gegebenen Umständen sowohl im Büro des Polizisten als auch in der Arrestzelle eine unangemessene Gewaltanwendung, wie der Kantonsgerichtsausschuss zutreffend dargelegt hat. Den in der Beschwerde dagegen erhobenen Einwänden kann nicht gefolgt werden: Ein Situationszwang lag ebensowenig vor wie eine aus den Umständen entschuldbare unwesentliche Überschreitung der amtlichen Befugnisse. Es ging nämlich weder um die Verhinderung einer Flucht noch um die Abwehr eines Angriffes. Die Vorgänge spielten sich in den Räumlichkeiten der Polizei ab, und es waren weitere Beamte verfügbar, welche der Beschwerdeführer allenfalls hätte zu Hilfe holen können. W. hat hier zu Methoden gegriffen, die in einem Rechtsstaat nicht geduldet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